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4"/>
        <w:gridCol w:w="526"/>
        <w:gridCol w:w="2285"/>
        <w:gridCol w:w="880"/>
        <w:gridCol w:w="1381"/>
        <w:gridCol w:w="1366"/>
      </w:tblGrid>
      <w:tr w:rsidR="00983021" w:rsidRPr="00C7646D" w14:paraId="14476FEB" w14:textId="77777777" w:rsidTr="00D1773E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D50F3" w14:textId="368CC5DC" w:rsidR="00983021" w:rsidRPr="00004073" w:rsidRDefault="008E6D98" w:rsidP="00004073">
            <w:r w:rsidRPr="004D341D">
              <w:rPr>
                <w:b/>
                <w:bCs/>
              </w:rPr>
              <w:t xml:space="preserve">Supplementary Table </w:t>
            </w:r>
            <w:r>
              <w:rPr>
                <w:b/>
                <w:bCs/>
              </w:rPr>
              <w:t>2</w:t>
            </w:r>
            <w:r w:rsidRPr="00A37B23">
              <w:t xml:space="preserve">. PERMANOVA showing the influence of maximum daily soil temperature and other environmental factors on the weighted </w:t>
            </w:r>
            <w:proofErr w:type="spellStart"/>
            <w:r w:rsidRPr="00A37B23">
              <w:t>UniFrac</w:t>
            </w:r>
            <w:proofErr w:type="spellEnd"/>
            <w:r w:rsidRPr="00A37B23">
              <w:t xml:space="preserve"> distance between 16 rRNA gene sequence from soil bacterial communities across the 11 sampled sites bacterial community composition. Bold numbers indicate significance (P&lt;0.05)</w:t>
            </w:r>
          </w:p>
        </w:tc>
      </w:tr>
      <w:tr w:rsidR="00983021" w:rsidRPr="00C7646D" w14:paraId="1362F39C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D44BE" w14:textId="77777777" w:rsidR="00983021" w:rsidRPr="00C7646D" w:rsidRDefault="00983021" w:rsidP="00D1773E">
            <w:pPr>
              <w:spacing w:line="240" w:lineRule="auto"/>
              <w:rPr>
                <w:rFonts w:ascii="Helvetica" w:hAnsi="Helvetica" w:cs="Helvetica"/>
                <w:color w:val="777777"/>
                <w:sz w:val="21"/>
                <w:szCs w:val="21"/>
              </w:rPr>
            </w:pPr>
          </w:p>
        </w:tc>
      </w:tr>
      <w:tr w:rsidR="00983021" w:rsidRPr="00C7646D" w14:paraId="78F1574B" w14:textId="77777777" w:rsidTr="00D1773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285F31" w14:textId="77777777" w:rsidR="00983021" w:rsidRPr="00C7646D" w:rsidRDefault="00983021" w:rsidP="00D1773E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8CB7E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Df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381CE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SumOfSqs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79E4B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R2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070A6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F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E5C22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Pr</w:t>
            </w:r>
            <w:proofErr w:type="spellEnd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(&gt; F)</w:t>
            </w:r>
          </w:p>
        </w:tc>
      </w:tr>
      <w:tr w:rsidR="00983021" w:rsidRPr="00C7646D" w14:paraId="1822A08F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EDB5E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822175" w:rsidRPr="00C7646D" w14:paraId="58E348B5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7647A6" w14:textId="2A2E13E2" w:rsidR="00822175" w:rsidRPr="00176665" w:rsidRDefault="00176665" w:rsidP="00822175">
            <w:pPr>
              <w:spacing w:line="240" w:lineRule="auto"/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STmax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75988" w14:textId="1E7DCC9A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2B962" w14:textId="4DF89606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EAB8F" w14:textId="219221D6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86750" w14:textId="0008497B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1.9533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204427" w14:textId="2FB2231F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0.099</w:t>
            </w:r>
          </w:p>
        </w:tc>
      </w:tr>
      <w:tr w:rsidR="00822175" w:rsidRPr="00C7646D" w14:paraId="7F211819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693EF8" w14:textId="77777777" w:rsidR="00822175" w:rsidRPr="00C7646D" w:rsidRDefault="00822175" w:rsidP="00822175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pH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16332" w14:textId="1ADDED6F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74A5B" w14:textId="13B7B3FE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C730F" w14:textId="2C4E00AA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6AC70" w14:textId="07A5A600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21.398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2220D" w14:textId="769E05FE" w:rsidR="00822175" w:rsidRPr="00822175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82217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0.001</w:t>
            </w:r>
          </w:p>
        </w:tc>
      </w:tr>
      <w:tr w:rsidR="00822175" w:rsidRPr="00C7646D" w14:paraId="0C23ABF8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66CF2" w14:textId="77777777" w:rsidR="00822175" w:rsidRPr="00C7646D" w:rsidRDefault="00822175" w:rsidP="00822175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Water Content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E4F1E" w14:textId="14A9FB48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DE526" w14:textId="6D6DA419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CC5EF" w14:textId="21EDF485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724794" w14:textId="2ABEF01A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1.5768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0C5DF" w14:textId="00181DEF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0.158</w:t>
            </w:r>
          </w:p>
        </w:tc>
      </w:tr>
      <w:tr w:rsidR="00822175" w:rsidRPr="00C7646D" w14:paraId="57A46646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90629" w14:textId="77777777" w:rsidR="00822175" w:rsidRPr="00C7646D" w:rsidRDefault="00822175" w:rsidP="00822175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Topt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E2E28" w14:textId="31AB2007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D9783" w14:textId="341D3CB9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A5469" w14:textId="43C9D66D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4EF21" w14:textId="31312776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1.1037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67432" w14:textId="006D3172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0.311</w:t>
            </w:r>
          </w:p>
        </w:tc>
      </w:tr>
      <w:tr w:rsidR="00822175" w:rsidRPr="00C7646D" w14:paraId="6E70C4C9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4698A" w14:textId="77777777" w:rsidR="00822175" w:rsidRPr="00C7646D" w:rsidRDefault="00822175" w:rsidP="00822175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Organic C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1B25E" w14:textId="63AD1116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494D2" w14:textId="0CD5089B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DF981" w14:textId="20298AD5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9B310" w14:textId="7BFFFB99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1.0997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7478D" w14:textId="67B173C9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0.275</w:t>
            </w:r>
          </w:p>
        </w:tc>
      </w:tr>
      <w:tr w:rsidR="00822175" w:rsidRPr="00C7646D" w14:paraId="214EDB2D" w14:textId="77777777" w:rsidTr="00DB60B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A47AE" w14:textId="77777777" w:rsidR="00822175" w:rsidRPr="00C7646D" w:rsidRDefault="00822175" w:rsidP="00822175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Organic 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CD760" w14:textId="15807954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F2669" w14:textId="3652891C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16E3F" w14:textId="44B9F49B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5A80" w14:textId="1F4FC433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1.3844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FC4D5" w14:textId="2F95E8D7" w:rsidR="00822175" w:rsidRPr="00C7646D" w:rsidRDefault="00822175" w:rsidP="00822175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0.19</w:t>
            </w:r>
          </w:p>
        </w:tc>
      </w:tr>
      <w:tr w:rsidR="00FB4BF4" w:rsidRPr="00C7646D" w14:paraId="74C508D5" w14:textId="77777777" w:rsidTr="001F023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AFEE0" w14:textId="77777777" w:rsidR="00FB4BF4" w:rsidRPr="00C7646D" w:rsidRDefault="00FB4BF4" w:rsidP="00FB4BF4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Residual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0B3B1" w14:textId="77777777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A3863" w14:textId="2FB14C75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1F273" w14:textId="030047A5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F005D" w14:textId="77777777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DE0C6" w14:textId="77777777" w:rsidR="00FB4BF4" w:rsidRPr="00C7646D" w:rsidRDefault="00FB4BF4" w:rsidP="00FB4BF4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FB4BF4" w:rsidRPr="00C7646D" w14:paraId="69F37764" w14:textId="77777777" w:rsidTr="001F0230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0CBB7" w14:textId="77777777" w:rsidR="00FB4BF4" w:rsidRPr="00C7646D" w:rsidRDefault="00FB4BF4" w:rsidP="00FB4BF4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Total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3FA88" w14:textId="77777777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EFF16" w14:textId="0E74F353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CB400" w14:textId="2E0884C6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D24901" w14:textId="77777777" w:rsidR="00FB4BF4" w:rsidRPr="00C7646D" w:rsidRDefault="00FB4BF4" w:rsidP="00FB4BF4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77F81" w14:textId="77777777" w:rsidR="00FB4BF4" w:rsidRPr="00C7646D" w:rsidRDefault="00FB4BF4" w:rsidP="00FB4BF4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983021" w:rsidRPr="00C7646D" w14:paraId="4EDD65F2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381729" w14:textId="77777777" w:rsidR="00983021" w:rsidRPr="00C7646D" w:rsidRDefault="00983021" w:rsidP="00D1773E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1EE13C76" w14:textId="1E9CDDE4" w:rsidR="002320A4" w:rsidRDefault="007B0792"/>
    <w:p w14:paraId="02F939AA" w14:textId="2E25ED53" w:rsidR="00983021" w:rsidRDefault="00983021"/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5"/>
        <w:gridCol w:w="513"/>
        <w:gridCol w:w="2228"/>
        <w:gridCol w:w="1101"/>
        <w:gridCol w:w="1347"/>
        <w:gridCol w:w="1328"/>
      </w:tblGrid>
      <w:tr w:rsidR="00983021" w:rsidRPr="00C7646D" w14:paraId="08AE5D15" w14:textId="77777777" w:rsidTr="00D1773E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12C8CE" w14:textId="2F97AA2E" w:rsidR="00983021" w:rsidRPr="00C7646D" w:rsidRDefault="00004073" w:rsidP="00D1773E">
            <w:pPr>
              <w:spacing w:line="240" w:lineRule="auto"/>
              <w:rPr>
                <w:rFonts w:ascii="Helvetica" w:hAnsi="Helvetica" w:cs="Helvetica"/>
                <w:sz w:val="21"/>
                <w:szCs w:val="21"/>
              </w:rPr>
            </w:pPr>
            <w:r w:rsidRPr="004D341D">
              <w:rPr>
                <w:b/>
                <w:bCs/>
              </w:rPr>
              <w:t xml:space="preserve">Supplementary Table </w:t>
            </w:r>
            <w:r>
              <w:rPr>
                <w:b/>
                <w:bCs/>
              </w:rPr>
              <w:t>3</w:t>
            </w:r>
            <w:r w:rsidRPr="00A37B23">
              <w:t xml:space="preserve">. PERMANOVA showing the influence of </w:t>
            </w:r>
            <w:r>
              <w:t>minimum</w:t>
            </w:r>
            <w:r w:rsidRPr="00A37B23">
              <w:t xml:space="preserve"> daily soil temperature and other environmental factors on the weighted </w:t>
            </w:r>
            <w:proofErr w:type="spellStart"/>
            <w:r w:rsidRPr="00A37B23">
              <w:t>UniFrac</w:t>
            </w:r>
            <w:proofErr w:type="spellEnd"/>
            <w:r w:rsidRPr="00A37B23">
              <w:t xml:space="preserve"> distance between 16 rRNA gene sequence from soil bacterial communities across the 11 sampled sites bacterial community composition. Bold numbers indicate significance (P&lt;0.05)</w:t>
            </w:r>
          </w:p>
        </w:tc>
      </w:tr>
      <w:tr w:rsidR="00983021" w:rsidRPr="00C7646D" w14:paraId="3B087B6B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5B25E" w14:textId="77777777" w:rsidR="00983021" w:rsidRPr="00C7646D" w:rsidRDefault="00983021" w:rsidP="00D1773E">
            <w:pPr>
              <w:spacing w:line="240" w:lineRule="auto"/>
              <w:rPr>
                <w:rFonts w:ascii="Helvetica" w:hAnsi="Helvetica" w:cs="Helvetica"/>
                <w:color w:val="777777"/>
                <w:sz w:val="21"/>
                <w:szCs w:val="21"/>
              </w:rPr>
            </w:pPr>
          </w:p>
        </w:tc>
      </w:tr>
      <w:tr w:rsidR="00983021" w:rsidRPr="00C7646D" w14:paraId="3BAE4989" w14:textId="77777777" w:rsidTr="00D1773E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738559" w14:textId="77777777" w:rsidR="00983021" w:rsidRPr="00C7646D" w:rsidRDefault="00983021" w:rsidP="00D1773E">
            <w:pPr>
              <w:spacing w:line="240" w:lineRule="auto"/>
              <w:jc w:val="center"/>
              <w:rPr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CF7A21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Df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8D12D0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SumOfSqs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1792B3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R2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3AE66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F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662EF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Pr</w:t>
            </w:r>
            <w:proofErr w:type="spellEnd"/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(&gt; F)</w:t>
            </w:r>
          </w:p>
        </w:tc>
      </w:tr>
      <w:tr w:rsidR="00983021" w:rsidRPr="00C7646D" w14:paraId="6710DB3E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7D706" w14:textId="77777777" w:rsidR="00983021" w:rsidRPr="00C7646D" w:rsidRDefault="00983021" w:rsidP="00D1773E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983021" w:rsidRPr="00C7646D" w14:paraId="676A0176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B7C01B" w14:textId="7583DB1E" w:rsidR="00983021" w:rsidRPr="00176665" w:rsidRDefault="00176665" w:rsidP="00983021">
            <w:pPr>
              <w:spacing w:line="240" w:lineRule="auto"/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STmin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51727A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15B4E" w14:textId="409F2D28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A6E3" w14:textId="1375C152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0.049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73BBE" w14:textId="61901302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BA372" w14:textId="0945B33F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0.060</w:t>
            </w:r>
          </w:p>
        </w:tc>
      </w:tr>
      <w:tr w:rsidR="00983021" w:rsidRPr="00C7646D" w14:paraId="29E2B67F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C6FCC8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pH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C7A98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7EF51" w14:textId="05196391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49E97" w14:textId="2C70378D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4C81E" w14:textId="466E2059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20.316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E08C2" w14:textId="50DF38E1" w:rsidR="00983021" w:rsidRPr="00983021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9830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0.001</w:t>
            </w:r>
          </w:p>
        </w:tc>
      </w:tr>
      <w:tr w:rsidR="00983021" w:rsidRPr="00C7646D" w14:paraId="3ED29706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EC91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Water Content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36CFD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8F88F" w14:textId="7A288DAC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446D7" w14:textId="47098F41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E651E" w14:textId="50DA57E8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A26E3" w14:textId="26CE05A8" w:rsidR="00983021" w:rsidRPr="00983021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9830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0.042</w:t>
            </w:r>
          </w:p>
        </w:tc>
      </w:tr>
      <w:tr w:rsidR="00983021" w:rsidRPr="00C7646D" w14:paraId="64008BA4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8A2BD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Topt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7F32A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88F8A" w14:textId="64AF4D39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F76F95" w14:textId="0DE1F704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087C9" w14:textId="68FC5F2F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61000" w14:textId="0C1D0D8A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0.442</w:t>
            </w:r>
          </w:p>
        </w:tc>
      </w:tr>
      <w:tr w:rsidR="00983021" w:rsidRPr="00C7646D" w14:paraId="733A3D2E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A02E6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Organic C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DEFBF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34316" w14:textId="116377BF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16E85" w14:textId="7AE5A23B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9C1C0" w14:textId="1174F38A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ACFFF" w14:textId="442097A1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0.248</w:t>
            </w:r>
          </w:p>
        </w:tc>
      </w:tr>
      <w:tr w:rsidR="00983021" w:rsidRPr="00C7646D" w14:paraId="7F3224C2" w14:textId="77777777" w:rsidTr="002656E4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9FBDC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Organic 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4FDAFF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14BB1" w14:textId="292BFAE8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A415" w14:textId="5C391A76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D0B136" w14:textId="75AA5596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2B60ED" w14:textId="46BC0ED5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0.269</w:t>
            </w:r>
          </w:p>
        </w:tc>
      </w:tr>
      <w:tr w:rsidR="00983021" w:rsidRPr="00C7646D" w14:paraId="44FE8226" w14:textId="77777777" w:rsidTr="00451209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91D50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Residual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A66332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86CE7" w14:textId="12D6E28F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69796" w14:textId="145F5D42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0.410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21BC7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50634E" w14:textId="77777777" w:rsidR="00983021" w:rsidRPr="00C7646D" w:rsidRDefault="00983021" w:rsidP="00983021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983021" w:rsidRPr="00C7646D" w14:paraId="353B1FD6" w14:textId="77777777" w:rsidTr="00451209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D3CB56" w14:textId="77777777" w:rsidR="00983021" w:rsidRPr="00C7646D" w:rsidRDefault="00983021" w:rsidP="00983021">
            <w:pPr>
              <w:spacing w:line="240" w:lineRule="auto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Total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C92C9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 w:rsidRPr="00C7646D">
              <w:rPr>
                <w:rFonts w:ascii="Helvetica" w:hAnsi="Helvetica" w:cs="Helvetica"/>
                <w:color w:val="333333"/>
                <w:sz w:val="21"/>
                <w:szCs w:val="21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7FC44" w14:textId="150FA1C8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58EFA" w14:textId="04A0E7F9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AD13A" w14:textId="77777777" w:rsidR="00983021" w:rsidRPr="00C7646D" w:rsidRDefault="00983021" w:rsidP="00983021">
            <w:pPr>
              <w:spacing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A9980D" w14:textId="77777777" w:rsidR="00983021" w:rsidRPr="00C7646D" w:rsidRDefault="00983021" w:rsidP="00983021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983021" w:rsidRPr="00C7646D" w14:paraId="371AE202" w14:textId="77777777" w:rsidTr="00D1773E">
        <w:tc>
          <w:tcPr>
            <w:tcW w:w="0" w:type="auto"/>
            <w:gridSpan w:val="6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12AFC" w14:textId="77777777" w:rsidR="00983021" w:rsidRPr="00C7646D" w:rsidRDefault="00983021" w:rsidP="00D1773E">
            <w:pPr>
              <w:spacing w:line="240" w:lineRule="auto"/>
              <w:jc w:val="center"/>
              <w:rPr>
                <w:szCs w:val="20"/>
              </w:rPr>
            </w:pPr>
          </w:p>
        </w:tc>
      </w:tr>
    </w:tbl>
    <w:p w14:paraId="000E5656" w14:textId="77777777" w:rsidR="00983021" w:rsidRDefault="00983021"/>
    <w:sectPr w:rsidR="00983021" w:rsidSect="00DA6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021"/>
    <w:rsid w:val="00004073"/>
    <w:rsid w:val="000F44E1"/>
    <w:rsid w:val="00176665"/>
    <w:rsid w:val="00294C7F"/>
    <w:rsid w:val="002A2AC9"/>
    <w:rsid w:val="00422C68"/>
    <w:rsid w:val="005E6C1D"/>
    <w:rsid w:val="00666384"/>
    <w:rsid w:val="00822175"/>
    <w:rsid w:val="008E6D98"/>
    <w:rsid w:val="00983021"/>
    <w:rsid w:val="00BE7267"/>
    <w:rsid w:val="00DA6554"/>
    <w:rsid w:val="00EC3F15"/>
    <w:rsid w:val="00F533C9"/>
    <w:rsid w:val="00FB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0AA3"/>
  <w15:chartTrackingRefBased/>
  <w15:docId w15:val="{79BC3BD7-635E-4A59-87BF-985C7C06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2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C3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3F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3F15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F15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Rijkers</dc:creator>
  <cp:keywords/>
  <dc:description/>
  <cp:lastModifiedBy>Ruud Rijkers</cp:lastModifiedBy>
  <cp:revision>2</cp:revision>
  <dcterms:created xsi:type="dcterms:W3CDTF">2023-01-17T09:18:00Z</dcterms:created>
  <dcterms:modified xsi:type="dcterms:W3CDTF">2023-01-17T09:18:00Z</dcterms:modified>
</cp:coreProperties>
</file>